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0CA39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一、行程与时间安排</w:t>
      </w:r>
    </w:p>
    <w:p w14:paraId="72052D00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1. 行程中所列时间均为参考时间，具体执行以当日实际情况为准。我方有权根据天气、路况、客人参与自费项目时间情况等因素，对行程安排进行合理调整。因团友所选自费项目不同，返程时间可能存在差异，敬请理解。</w:t>
      </w:r>
    </w:p>
    <w:p w14:paraId="291D9500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2. 自费项目时间仅供参考。客人如自行预订相关项目，须提前与我方确认具体时间。如客人自行预订且未与我方沟通确认，而导致时间冲突或行程延误的，相关责任由客人自行承担，我方不承担因此产生的任何损失或责任。</w:t>
      </w:r>
    </w:p>
    <w:p w14:paraId="4BE234C9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3. 如客人不参加任何自费项目，司导将根据当日行程安排，在指定区域活动，待其他团友活动结束后集合继续行程，并统一安排返程。</w:t>
      </w:r>
    </w:p>
    <w:p w14:paraId="05DFD647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4. 每年5月至9月期间，新西兰受冬令时日照缩短及黑冰等自然因素影响，行程时间及安排可能发生较大调整。报名时我方会告知时间改动（如有）。</w:t>
      </w:r>
    </w:p>
    <w:p w14:paraId="27B8D3C8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​</w:t>
      </w:r>
    </w:p>
    <w:p w14:paraId="339A2DB0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二、自费项目说明</w:t>
      </w:r>
    </w:p>
    <w:p w14:paraId="228418B6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5. 所有自费项目均为非强制消费，客人可根据个人意愿自主选择参加。自费项目由独立第三方供应商运营及管理，其安全管理、设备维护、风险提示及实际履行均由供应商负责。我方仅提供预订协助或信息转达服务，不对第三方供应商的服务质量、安全事故、人身伤害、财产损失或项目取消承担责任。</w:t>
      </w:r>
    </w:p>
    <w:p w14:paraId="2482868B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6. 自费项目价格以项目供应商当日公布价格为准，费用均以新西兰元结算。行程中所列价格仅供参考，景点公司有权更改价格，最终以景点或供应商官方公布为准。</w:t>
      </w:r>
    </w:p>
    <w:p w14:paraId="742A0E73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7. 自费项目通常由第三方供应商运营，是否成行以供应商最终确认及当日实际情况为准。如因天气或其他不可抗力因素导致项目取消，不视为我方违约。</w:t>
      </w:r>
    </w:p>
    <w:p w14:paraId="1BFF5DB9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8. 第三方自费项目的取消或调整，不影响本行程主体服务的正常履行。本产品的退改及费用处理，仍按本条款约定执行。</w:t>
      </w:r>
    </w:p>
    <w:p w14:paraId="39F424D7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​</w:t>
      </w:r>
    </w:p>
    <w:p w14:paraId="52C9248B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三、费用包含与不包含</w:t>
      </w:r>
    </w:p>
    <w:p w14:paraId="586A16B9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9. 本产品为拼团价格，所有预订需经二次确认后方视为最终成立。</w:t>
      </w:r>
    </w:p>
    <w:p w14:paraId="5A621F6B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10. 费用包含：中文司兼导服务；行程内交通用车；司导小费；司导工作餐补；</w:t>
      </w:r>
    </w:p>
    <w:p w14:paraId="18C03F8F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11. 费用不包含：自费项目及相关门票费用；个人旅行保险；餐饮费用；因不可抗力产生的额外费用。</w:t>
      </w:r>
    </w:p>
    <w:p w14:paraId="5443E499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​</w:t>
      </w:r>
    </w:p>
    <w:p w14:paraId="768899D5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四、不可抗力说明</w:t>
      </w:r>
    </w:p>
    <w:p w14:paraId="1E9EEFE2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12. 不可抗力指无法预见、无法避免且无法克服的客观情况，包括但不限于：恶劣天气、自然灾害、战争、罢工、疫情、恐怖事件、政府行为、公共卫生事件、事故等突发事件造成的道路封闭、景区临时关闭、交通或酒店资源临时征用、边境政策变化等。</w:t>
      </w:r>
    </w:p>
    <w:p w14:paraId="06EE9ABC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13. 因不可抗力导致行程延误、调整、取消或部分无法履行的，不视为我方违约责任。</w:t>
      </w:r>
    </w:p>
    <w:p w14:paraId="67C9641A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- 如上述不可抗力发生于行程开始前，我方将根据政府或相关机构发布的通知，及时向客人转达相关信息，并在合理范围内协助客人处理未出行部分的取消、改期及退款等事宜，具体结果以相关供应商或机构的政策为准。</w:t>
      </w:r>
    </w:p>
    <w:p w14:paraId="7D556E59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- 如上述不可抗力发生于行程开始后，客人应配合我方进行相应调整与安排，并及时联系其所投保的保险公司申请理赔。我方可在合理范围内提供必要协助，但不承担相关理赔责任或由此产生的损失。</w:t>
      </w:r>
    </w:p>
    <w:p w14:paraId="432C0C09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14. 强烈建议客人自行购买覆盖行程变更及自费项目的综合旅行保险。</w:t>
      </w:r>
    </w:p>
    <w:p w14:paraId="744E63F4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​</w:t>
      </w:r>
    </w:p>
    <w:p w14:paraId="3AE9B692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五、预订与退改规则</w:t>
      </w:r>
    </w:p>
    <w:p w14:paraId="6B79E817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15. 本产品需支付总费用30%作为定金，支付后即视为预订成功，定金不予退还且不支持修改或取消。</w:t>
      </w:r>
    </w:p>
    <w:p w14:paraId="05FB1F96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16. 尾款须于出发前3个工作日（含）付清，逾期视为自动放弃行程，已付定金不予退还。</w:t>
      </w:r>
    </w:p>
    <w:p w14:paraId="4C820189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17. 预订后，非不可抗力外，如客人因个人原因取消或变更，已付费用不予退还。</w:t>
      </w:r>
    </w:p>
    <w:p w14:paraId="20EAFB00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​</w:t>
      </w:r>
    </w:p>
    <w:p w14:paraId="2B71382F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六、乘车与安全须知</w:t>
      </w:r>
    </w:p>
    <w:p w14:paraId="151B4549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18. 请客人在报名时准确提供乘车人数、行李数量及尺寸信息。</w:t>
      </w:r>
    </w:p>
    <w:p w14:paraId="24A5C98A">
      <w:pPr>
        <w:rPr>
          <w:rFonts w:hint="default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19. 根据新西兰相关法律规定，7岁以下儿童须使用儿童安全座椅，请务必在报名时提前告知。</w:t>
      </w:r>
    </w:p>
    <w:p w14:paraId="44CB9374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20. 客人应自行保管个人财物、证件及贵重物品。因客人自身保管不当导致遗失、被盗或损坏的，我方不承担赔偿责任。如我方协助寻找，仅属于善意协助行为，不承担找回义务。</w:t>
      </w:r>
    </w:p>
    <w:p w14:paraId="5FA4FAA9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​</w:t>
      </w:r>
    </w:p>
    <w:p w14:paraId="372D2E1B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七、行为规范与责任</w:t>
      </w:r>
    </w:p>
    <w:p w14:paraId="0C611721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21. 行程期间请遵守新西兰当地法律法规及司导的安全提示。为保障车内环境与安全，车辆行驶过程中禁止饮食。</w:t>
      </w:r>
    </w:p>
    <w:p w14:paraId="22C21BDE">
      <w:pPr>
        <w:rPr>
          <w:rFonts w:hint="default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22. 如发生突发情况，请第一时间配合司导处理，并及时联系保险公司进行理赔。我方可提供必要协助，但不承担相关理赔责任。 </w:t>
      </w:r>
    </w:p>
    <w:p w14:paraId="106E4D8F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</w:p>
    <w:p w14:paraId="427D6574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八、健康状况与服务终止</w:t>
      </w:r>
    </w:p>
    <w:p w14:paraId="56B3A016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23. 客人应确保自身身体状况适合参加本次行程及相关活动。如患有心脏病、高血压、癫痫、严重过敏、精神疾病、行动障碍、孕期或其他可能影响安全参与行程的疾病或特殊情况，应于报名时主动告知我方。</w:t>
      </w:r>
    </w:p>
    <w:p w14:paraId="3DD66A0F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24. 客人应对自身健康状况负责。因客人未如实披露相关情况，或因其身体状况不适宜参加行程而导致的人身伤害、财产损失、医疗费用、行程延误或其他损失，由客人自行承担相应责任。</w:t>
      </w:r>
    </w:p>
    <w:p w14:paraId="66F27BAD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25. 如客人在行程期间出现身体不适、疾病发作、醉酒、药物影响、精神状态异常，或其他可能危及本人、其他团友、司导人员或公共安全的情况，我方有权根据实际情况采取合理措施，包括但不限于暂停参与部分活动、要求就医、安排提前离团或终止后续服务。</w:t>
      </w:r>
    </w:p>
    <w:p w14:paraId="2EC2A21D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26. 因上述原因导致客人无法继续参加全部或部分行程的，我方不视为违约，未使用部分的费用是否退还，将根据实际情况及相关供应商政策决定；因此产生的医疗费用、交通费用、住宿费用及其他额外支出，由客人自行承担。</w:t>
      </w:r>
    </w:p>
    <w:p w14:paraId="659C8523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</w:p>
    <w:p w14:paraId="7F75FABD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九、适用法律与争议解决</w:t>
      </w:r>
    </w:p>
    <w:p w14:paraId="0B265480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27. 本协议受新西兰法律管辖。因本协议产生的争议，双方应首先友好协商解决；协商不成的，可提交新西兰有关争议解决机构或法院处理。</w:t>
      </w:r>
    </w:p>
    <w:p w14:paraId="47FA7E7A">
      <w:pPr>
        <w:rPr>
          <w:rFonts w:hint="eastAsia" w:ascii="DengXian" w:hAnsi="DengXian" w:eastAsia="DengXi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</w:p>
    <w:p w14:paraId="728683F8">
      <w:pPr>
        <w:pStyle w:val="4"/>
        <w:spacing w:before="257"/>
        <w:rPr>
          <w:rFonts w:hint="eastAsia" w:ascii="DengXian" w:hAnsi="DengXian" w:eastAsia="DengXian" w:cs="DengXian"/>
          <w:sz w:val="20"/>
        </w:rPr>
      </w:pPr>
      <w:r>
        <w:rPr>
          <w:rFonts w:hint="eastAsia" w:ascii="DengXian" w:hAnsi="DengXian" w:eastAsia="DengXian" w:cs="DengXian"/>
          <w:b/>
          <w:bCs/>
          <w:spacing w:val="-4"/>
        </w:rPr>
        <w:t>参团人名单：</w:t>
      </w:r>
    </w:p>
    <w:p w14:paraId="753F8E81">
      <w:pPr>
        <w:jc w:val="left"/>
        <w:rPr>
          <w:rFonts w:hint="eastAsia" w:ascii="DengXian" w:hAnsi="DengXian" w:eastAsia="DengXian" w:cs="DengXian"/>
          <w:sz w:val="20"/>
          <w:szCs w:val="20"/>
        </w:rPr>
      </w:pPr>
    </w:p>
    <w:p w14:paraId="3E7827B0">
      <w:pPr>
        <w:pStyle w:val="4"/>
        <w:spacing w:before="42"/>
        <w:ind w:left="0"/>
        <w:rPr>
          <w:rFonts w:hint="eastAsia" w:ascii="DengXian" w:hAnsi="DengXian" w:eastAsia="DengXian" w:cs="DengXian"/>
        </w:rPr>
      </w:pPr>
    </w:p>
    <w:p w14:paraId="42778F4A">
      <w:pPr>
        <w:pStyle w:val="4"/>
        <w:tabs>
          <w:tab w:val="left" w:pos="10289"/>
        </w:tabs>
        <w:rPr>
          <w:rFonts w:hint="eastAsia" w:ascii="DengXian" w:hAnsi="DengXian" w:eastAsia="DengXian" w:cs="DengXian"/>
          <w:b/>
          <w:u w:val="single"/>
        </w:rPr>
      </w:pPr>
      <w:r>
        <w:rPr>
          <w:rFonts w:hint="eastAsia" w:ascii="DengXian" w:hAnsi="DengXian" w:eastAsia="DengXian" w:cs="DengXian"/>
          <w:spacing w:val="-2"/>
          <w:lang w:val="en-US" w:eastAsia="zh-CN"/>
        </w:rPr>
        <w:t>客人姓名</w:t>
      </w:r>
      <w:r>
        <w:rPr>
          <w:rFonts w:hint="eastAsia" w:ascii="DengXian" w:hAnsi="DengXian" w:eastAsia="DengXian" w:cs="DengXian"/>
          <w:spacing w:val="-10"/>
        </w:rPr>
        <w:t>：</w:t>
      </w:r>
      <w:r>
        <w:rPr>
          <w:rFonts w:hint="eastAsia" w:ascii="DengXian" w:hAnsi="DengXian" w:eastAsia="DengXian" w:cs="DengXian"/>
          <w:b/>
          <w:u w:val="single"/>
        </w:rPr>
        <w:tab/>
      </w:r>
    </w:p>
    <w:p w14:paraId="540C6565">
      <w:pPr>
        <w:pStyle w:val="4"/>
        <w:tabs>
          <w:tab w:val="left" w:pos="10289"/>
        </w:tabs>
        <w:rPr>
          <w:rFonts w:hint="eastAsia" w:ascii="DengXian" w:hAnsi="DengXian" w:eastAsia="DengXian" w:cs="DengXian"/>
          <w:b/>
          <w:u w:val="single"/>
        </w:rPr>
      </w:pPr>
    </w:p>
    <w:p w14:paraId="18F6A81D">
      <w:pPr>
        <w:pStyle w:val="4"/>
        <w:tabs>
          <w:tab w:val="left" w:pos="10289"/>
        </w:tabs>
        <w:rPr>
          <w:rFonts w:hint="eastAsia" w:ascii="DengXian" w:hAnsi="DengXian" w:eastAsia="DengXian" w:cs="DengXian"/>
          <w:b/>
          <w:u w:val="single"/>
        </w:rPr>
      </w:pPr>
      <w:r>
        <w:rPr>
          <w:rFonts w:hint="eastAsia" w:ascii="DengXian" w:hAnsi="DengXian" w:eastAsia="DengXian" w:cs="DengXian"/>
          <w:spacing w:val="-2"/>
          <w:lang w:val="en-US" w:eastAsia="zh-CN"/>
        </w:rPr>
        <w:t>一日游</w:t>
      </w:r>
      <w:r>
        <w:rPr>
          <w:rFonts w:hint="eastAsia" w:ascii="DengXian" w:hAnsi="DengXian" w:eastAsia="DengXian" w:cs="DengXian"/>
          <w:spacing w:val="-2"/>
        </w:rPr>
        <w:t>路线</w:t>
      </w:r>
      <w:r>
        <w:rPr>
          <w:rFonts w:hint="eastAsia" w:ascii="DengXian" w:hAnsi="DengXian" w:eastAsia="DengXian" w:cs="DengXian"/>
          <w:spacing w:val="-10"/>
        </w:rPr>
        <w:t>：</w:t>
      </w:r>
      <w:r>
        <w:rPr>
          <w:rFonts w:hint="eastAsia" w:ascii="DengXian" w:hAnsi="DengXian" w:eastAsia="DengXian" w:cs="DengXian"/>
          <w:b/>
          <w:u w:val="single"/>
        </w:rPr>
        <w:tab/>
      </w:r>
    </w:p>
    <w:p w14:paraId="4F156CE4">
      <w:pPr>
        <w:pStyle w:val="4"/>
        <w:spacing w:before="34"/>
        <w:ind w:left="0"/>
        <w:rPr>
          <w:rFonts w:hint="eastAsia" w:ascii="DengXian" w:hAnsi="DengXian" w:eastAsia="DengXian" w:cs="DengXian"/>
          <w:b/>
        </w:rPr>
      </w:pPr>
    </w:p>
    <w:p w14:paraId="74D67F18">
      <w:pPr>
        <w:pStyle w:val="4"/>
        <w:tabs>
          <w:tab w:val="left" w:pos="10289"/>
        </w:tabs>
        <w:rPr>
          <w:rFonts w:hint="eastAsia" w:ascii="DengXian" w:hAnsi="DengXian" w:eastAsia="DengXian" w:cs="DengXian"/>
          <w:b/>
        </w:rPr>
      </w:pPr>
      <w:r>
        <w:rPr>
          <w:rFonts w:hint="eastAsia" w:ascii="DengXian" w:hAnsi="DengXian" w:eastAsia="DengXian" w:cs="DengXian"/>
          <w:spacing w:val="-2"/>
        </w:rPr>
        <w:t>参团日期</w:t>
      </w:r>
      <w:r>
        <w:rPr>
          <w:rFonts w:hint="eastAsia" w:ascii="DengXian" w:hAnsi="DengXian" w:eastAsia="DengXian" w:cs="DengXian"/>
          <w:spacing w:val="-10"/>
        </w:rPr>
        <w:t>：</w:t>
      </w:r>
      <w:r>
        <w:rPr>
          <w:rFonts w:hint="eastAsia" w:ascii="DengXian" w:hAnsi="DengXian" w:eastAsia="DengXian" w:cs="DengXian"/>
          <w:b/>
          <w:u w:val="single"/>
        </w:rPr>
        <w:tab/>
      </w:r>
    </w:p>
    <w:p w14:paraId="44C6C02D">
      <w:pPr>
        <w:pStyle w:val="4"/>
        <w:spacing w:before="34"/>
        <w:ind w:left="0"/>
        <w:rPr>
          <w:rFonts w:hint="eastAsia" w:ascii="DengXian" w:hAnsi="DengXian" w:eastAsia="DengXian" w:cs="DengXian"/>
          <w:b/>
        </w:rPr>
      </w:pPr>
    </w:p>
    <w:p w14:paraId="152713E6">
      <w:pPr>
        <w:pStyle w:val="4"/>
        <w:tabs>
          <w:tab w:val="left" w:pos="10289"/>
        </w:tabs>
        <w:rPr>
          <w:rFonts w:hint="eastAsia" w:ascii="DengXian" w:hAnsi="DengXian" w:eastAsia="DengXian" w:cs="DengXian"/>
          <w:b/>
        </w:rPr>
      </w:pPr>
      <w:r>
        <w:rPr>
          <w:rFonts w:hint="eastAsia" w:ascii="DengXian" w:hAnsi="DengXian" w:eastAsia="DengXian" w:cs="DengXian"/>
          <w:spacing w:val="-2"/>
        </w:rPr>
        <w:t>自费项目备注</w:t>
      </w:r>
      <w:r>
        <w:rPr>
          <w:rFonts w:hint="eastAsia" w:ascii="DengXian" w:hAnsi="DengXian" w:eastAsia="DengXian" w:cs="DengXian"/>
          <w:spacing w:val="-10"/>
        </w:rPr>
        <w:t>：</w:t>
      </w:r>
      <w:r>
        <w:rPr>
          <w:rFonts w:hint="eastAsia" w:ascii="DengXian" w:hAnsi="DengXian" w:eastAsia="DengXian" w:cs="DengXian"/>
          <w:b/>
          <w:u w:val="single"/>
        </w:rPr>
        <w:tab/>
      </w:r>
    </w:p>
    <w:p w14:paraId="6CFCA244">
      <w:pPr>
        <w:pStyle w:val="4"/>
        <w:spacing w:before="64"/>
        <w:ind w:left="0"/>
        <w:rPr>
          <w:rFonts w:hint="eastAsia" w:ascii="DengXian" w:hAnsi="DengXian" w:eastAsia="DengXian" w:cs="DengXian"/>
          <w:b/>
        </w:rPr>
      </w:pPr>
    </w:p>
    <w:p w14:paraId="19804079">
      <w:pPr>
        <w:pStyle w:val="4"/>
        <w:tabs>
          <w:tab w:val="left" w:pos="5665"/>
          <w:tab w:val="left" w:pos="6033"/>
          <w:tab w:val="left" w:pos="9025"/>
        </w:tabs>
        <w:rPr>
          <w:rFonts w:hint="eastAsia" w:ascii="DengXian" w:hAnsi="DengXian" w:eastAsia="DengXian" w:cs="DengXian"/>
        </w:rPr>
      </w:pPr>
      <w:r>
        <w:rPr>
          <w:rFonts w:hint="eastAsia" w:ascii="DengXian" w:hAnsi="DengXian" w:eastAsia="DengXian" w:cs="DengXian"/>
          <w:spacing w:val="-2"/>
        </w:rPr>
        <w:t>旅游者（代表）签字</w:t>
      </w:r>
      <w:r>
        <w:rPr>
          <w:rFonts w:hint="eastAsia" w:ascii="DengXian" w:hAnsi="DengXian" w:eastAsia="DengXian" w:cs="DengXian"/>
          <w:spacing w:val="-10"/>
        </w:rPr>
        <w:t>：</w:t>
      </w:r>
      <w:r>
        <w:rPr>
          <w:rFonts w:hint="eastAsia" w:ascii="DengXian" w:hAnsi="DengXian" w:eastAsia="DengXian" w:cs="DengXian"/>
          <w:u w:val="single"/>
        </w:rPr>
        <w:tab/>
      </w:r>
      <w:r>
        <w:rPr>
          <w:rFonts w:hint="eastAsia" w:ascii="DengXian" w:hAnsi="DengXian" w:eastAsia="DengXian" w:cs="DengXian"/>
        </w:rPr>
        <w:tab/>
      </w:r>
      <w:r>
        <w:rPr>
          <w:rFonts w:hint="eastAsia" w:ascii="DengXian" w:hAnsi="DengXian" w:eastAsia="DengXian" w:cs="DengXian"/>
          <w:spacing w:val="-2"/>
        </w:rPr>
        <w:t>日期</w:t>
      </w:r>
      <w:r>
        <w:rPr>
          <w:rFonts w:hint="eastAsia" w:ascii="DengXian" w:hAnsi="DengXian" w:eastAsia="DengXian" w:cs="DengXian"/>
          <w:spacing w:val="-10"/>
        </w:rPr>
        <w:t>：</w:t>
      </w:r>
      <w:r>
        <w:rPr>
          <w:rFonts w:hint="eastAsia" w:ascii="DengXian" w:hAnsi="DengXian" w:eastAsia="DengXian" w:cs="DengXian"/>
          <w:u w:val="single"/>
        </w:rPr>
        <w:tab/>
      </w:r>
    </w:p>
    <w:p w14:paraId="333D7A4A">
      <w:pPr>
        <w:pStyle w:val="4"/>
        <w:spacing w:before="35"/>
        <w:ind w:left="0"/>
        <w:rPr>
          <w:rFonts w:hint="eastAsia" w:ascii="DengXian" w:hAnsi="DengXian" w:eastAsia="DengXian" w:cs="DengXian"/>
        </w:rPr>
      </w:pPr>
    </w:p>
    <w:p w14:paraId="677DE642">
      <w:pPr>
        <w:pStyle w:val="4"/>
        <w:tabs>
          <w:tab w:val="left" w:pos="5665"/>
        </w:tabs>
        <w:rPr>
          <w:rFonts w:hint="eastAsia" w:ascii="DengXian" w:hAnsi="DengXian" w:eastAsia="DengXian" w:cs="DengXian"/>
        </w:rPr>
      </w:pPr>
      <w:r>
        <w:rPr>
          <w:rFonts w:hint="eastAsia" w:ascii="DengXian" w:hAnsi="DengXian" w:eastAsia="DengXian" w:cs="DengXian"/>
          <w:spacing w:val="-2"/>
        </w:rPr>
        <w:t>主要联系人紧急联系电话</w:t>
      </w:r>
      <w:r>
        <w:rPr>
          <w:rFonts w:hint="eastAsia" w:ascii="DengXian" w:hAnsi="DengXian" w:eastAsia="DengXian" w:cs="DengXian"/>
          <w:spacing w:val="-10"/>
        </w:rPr>
        <w:t>：</w:t>
      </w:r>
      <w:r>
        <w:rPr>
          <w:rFonts w:hint="eastAsia" w:ascii="DengXian" w:hAnsi="DengXian" w:eastAsia="DengXian" w:cs="DengXian"/>
          <w:u w:val="single"/>
        </w:rPr>
        <w:tab/>
      </w:r>
    </w:p>
    <w:p w14:paraId="08C028BB">
      <w:pPr>
        <w:pStyle w:val="4"/>
        <w:spacing w:before="34"/>
        <w:ind w:left="0"/>
        <w:rPr>
          <w:rFonts w:hint="eastAsia" w:ascii="DengXian" w:hAnsi="DengXian" w:eastAsia="DengXian" w:cs="DengXian"/>
        </w:rPr>
      </w:pPr>
    </w:p>
    <w:p w14:paraId="7934E70B">
      <w:pPr>
        <w:pStyle w:val="4"/>
        <w:rPr>
          <w:rFonts w:hint="eastAsia" w:ascii="DengXian" w:hAnsi="DengXian" w:eastAsia="DengXian" w:cs="DengXian"/>
        </w:rPr>
      </w:pPr>
      <w:r>
        <w:rPr>
          <w:rFonts w:hint="eastAsia" w:ascii="DengXian" w:hAnsi="DengXian" w:eastAsia="DengXian" w:cs="DengXian"/>
          <w:spacing w:val="-3"/>
        </w:rPr>
        <w:t>签字表明您已仔细阅读并同意以上条款</w:t>
      </w:r>
      <w:bookmarkStart w:id="0" w:name="_GoBack"/>
      <w:bookmarkEnd w:id="0"/>
    </w:p>
    <w:p w14:paraId="43A6C8FD">
      <w:pPr>
        <w:rPr>
          <w:rFonts w:hint="eastAsia"/>
        </w:rPr>
      </w:pPr>
    </w:p>
    <w:sectPr>
      <w:headerReference r:id="rId5" w:type="default"/>
      <w:pgSz w:w="11910" w:h="16840"/>
      <w:pgMar w:top="880" w:right="566" w:bottom="280" w:left="566" w:header="254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C68DB">
    <w:pPr>
      <w:pStyle w:val="4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6150610</wp:posOffset>
          </wp:positionH>
          <wp:positionV relativeFrom="page">
            <wp:posOffset>161290</wp:posOffset>
          </wp:positionV>
          <wp:extent cx="869950" cy="40259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0020" cy="4025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00D67CFA"/>
    <w:rsid w:val="0AFA630C"/>
    <w:rsid w:val="0C231AC9"/>
    <w:rsid w:val="1A2C37AA"/>
    <w:rsid w:val="284048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SimSun" w:hAnsi="SimSun" w:eastAsia="SimSun" w:cs="SimSun"/>
      <w:sz w:val="22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53"/>
    </w:pPr>
    <w:rPr>
      <w:rFonts w:ascii="SimSun" w:hAnsi="SimSun" w:eastAsia="SimSun" w:cs="SimSun"/>
      <w:sz w:val="21"/>
      <w:szCs w:val="21"/>
      <w:lang w:val="en-US" w:eastAsia="zh-CN" w:bidi="ar-SA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Title"/>
    <w:basedOn w:val="1"/>
    <w:qFormat/>
    <w:uiPriority w:val="1"/>
    <w:pPr>
      <w:spacing w:before="44"/>
      <w:ind w:right="1"/>
      <w:jc w:val="center"/>
    </w:pPr>
    <w:rPr>
      <w:rFonts w:ascii="SimSun" w:hAnsi="SimSun" w:eastAsia="SimSun" w:cs="SimSun"/>
      <w:sz w:val="28"/>
      <w:szCs w:val="28"/>
      <w:lang w:val="en-US" w:eastAsia="zh-CN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53"/>
    </w:pPr>
    <w:rPr>
      <w:rFonts w:ascii="SimSun" w:hAnsi="SimSun" w:eastAsia="SimSun" w:cs="SimSun"/>
      <w:lang w:val="en-US" w:eastAsia="zh-CN" w:bidi="ar-SA"/>
    </w:rPr>
  </w:style>
  <w:style w:type="paragraph" w:customStyle="1" w:styleId="9">
    <w:name w:val="Table Paragraph"/>
    <w:basedOn w:val="1"/>
    <w:qFormat/>
    <w:uiPriority w:val="1"/>
    <w:rPr>
      <w:rFonts w:ascii="SimSun" w:hAnsi="SimSun" w:eastAsia="SimSun" w:cs="SimSun"/>
      <w:lang w:val="en-US" w:eastAsia="zh-CN" w:bidi="ar-SA"/>
    </w:rPr>
  </w:style>
  <w:style w:type="character" w:customStyle="1" w:styleId="10">
    <w:name w:val="font11"/>
    <w:qFormat/>
    <w:uiPriority w:val="0"/>
    <w:rPr>
      <w:rFonts w:hint="default" w:ascii="Segoe UI" w:hAnsi="Segoe UI" w:eastAsia="Segoe UI" w:cs="Segoe UI"/>
      <w:color w:val="666666"/>
      <w:sz w:val="21"/>
      <w:szCs w:val="21"/>
      <w:u w:val="none"/>
    </w:rPr>
  </w:style>
  <w:style w:type="character" w:customStyle="1" w:styleId="11">
    <w:name w:val="font21"/>
    <w:qFormat/>
    <w:uiPriority w:val="0"/>
    <w:rPr>
      <w:rFonts w:ascii="SimSun" w:hAnsi="SimSun" w:eastAsia="SimSun" w:cs="SimSun"/>
      <w:color w:val="666666"/>
      <w:sz w:val="21"/>
      <w:szCs w:val="21"/>
      <w:u w:val="none"/>
    </w:rPr>
  </w:style>
  <w:style w:type="character" w:customStyle="1" w:styleId="12">
    <w:name w:val="font31"/>
    <w:qFormat/>
    <w:uiPriority w:val="0"/>
    <w:rPr>
      <w:rFonts w:ascii="Helvetica" w:hAnsi="Helvetica" w:eastAsia="Helvetica" w:cs="Helvetica"/>
      <w:color w:val="666666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0</TotalTime>
  <ScaleCrop>false</ScaleCrop>
  <LinksUpToDate>false</LinksUpToDate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2026-06-28T23:53:00Z</dcterms:created>
  <dc:creator>GGPC</dc:creator>
  <cp:lastModifiedBy>GGPC</cp:lastModifiedBy>
  <cp:lastPrinted>2026-06-29T08:01:00Z</cp:lastPrinted>
  <dcterms:modified xsi:type="dcterms:W3CDTF">2026-06-30T06:27:51Z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2026-04-21T00:00:00Z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2026-06-28T00:00:00Z</vt:filetime>
  </property>
  <property fmtid="{D5CDD505-2E9C-101B-9397-08002B2CF9AE}" pid="6" name="SourceModified">
    <vt:lpwstr>D:20260421210620+12'00'</vt:lpwstr>
  </property>
  <property fmtid="{D5CDD505-2E9C-101B-9397-08002B2CF9AE}" pid="7" name="KSOProductBuildVer">
    <vt:lpwstr>1033-12.2.0.23202</vt:lpwstr>
  </property>
  <property fmtid="{D5CDD505-2E9C-101B-9397-08002B2CF9AE}" pid="8" name="ICV">
    <vt:lpwstr>FECFA74F23F8420787D7EA8E862EC992_12</vt:lpwstr>
  </property>
</Properties>
</file>